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311BD">
      <w:pPr>
        <w:jc w:val="center"/>
        <w:rPr>
          <w:rFonts w:ascii="仿宋_GB2312" w:eastAsia="仿宋_GB2312"/>
          <w:b/>
          <w:sz w:val="32"/>
          <w:szCs w:val="32"/>
        </w:rPr>
      </w:pPr>
    </w:p>
    <w:p w14:paraId="5D1CC085">
      <w:pPr>
        <w:jc w:val="center"/>
        <w:rPr>
          <w:rFonts w:ascii="黑体" w:eastAsia="黑体"/>
          <w:sz w:val="72"/>
          <w:szCs w:val="72"/>
        </w:rPr>
      </w:pPr>
    </w:p>
    <w:p w14:paraId="7E448D2C">
      <w:pPr>
        <w:jc w:val="center"/>
        <w:rPr>
          <w:rFonts w:ascii="黑体" w:eastAsia="黑体"/>
          <w:sz w:val="72"/>
          <w:szCs w:val="72"/>
        </w:rPr>
      </w:pPr>
    </w:p>
    <w:p w14:paraId="1B084F81">
      <w:pPr>
        <w:jc w:val="center"/>
        <w:rPr>
          <w:rFonts w:ascii="黑体" w:eastAsia="黑体"/>
          <w:sz w:val="72"/>
          <w:szCs w:val="72"/>
        </w:rPr>
      </w:pPr>
    </w:p>
    <w:p w14:paraId="5FFAD5F2">
      <w:pPr>
        <w:jc w:val="center"/>
        <w:rPr>
          <w:rFonts w:ascii="黑体" w:eastAsia="黑体"/>
          <w:sz w:val="72"/>
          <w:szCs w:val="72"/>
        </w:rPr>
      </w:pPr>
    </w:p>
    <w:p w14:paraId="2EC3FD96">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F415360">
      <w:pPr>
        <w:jc w:val="center"/>
        <w:rPr>
          <w:rFonts w:ascii="黑体" w:eastAsia="黑体"/>
          <w:sz w:val="52"/>
          <w:szCs w:val="52"/>
        </w:rPr>
      </w:pPr>
    </w:p>
    <w:p w14:paraId="0E4731A9">
      <w:pPr>
        <w:jc w:val="center"/>
        <w:rPr>
          <w:rFonts w:ascii="黑体" w:eastAsia="黑体"/>
          <w:sz w:val="52"/>
          <w:szCs w:val="52"/>
        </w:rPr>
      </w:pPr>
    </w:p>
    <w:p w14:paraId="162088F6">
      <w:pPr>
        <w:jc w:val="center"/>
        <w:rPr>
          <w:rFonts w:ascii="黑体" w:eastAsia="黑体"/>
          <w:sz w:val="52"/>
          <w:szCs w:val="52"/>
        </w:rPr>
      </w:pPr>
    </w:p>
    <w:p w14:paraId="542470C2">
      <w:pPr>
        <w:jc w:val="center"/>
        <w:rPr>
          <w:rFonts w:ascii="黑体" w:eastAsia="黑体"/>
          <w:sz w:val="52"/>
          <w:szCs w:val="52"/>
        </w:rPr>
      </w:pPr>
    </w:p>
    <w:p w14:paraId="3328BA6F">
      <w:pPr>
        <w:jc w:val="center"/>
        <w:rPr>
          <w:rFonts w:ascii="黑体" w:eastAsia="黑体"/>
          <w:sz w:val="32"/>
          <w:szCs w:val="32"/>
        </w:rPr>
      </w:pPr>
    </w:p>
    <w:p w14:paraId="46E99D30">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2C999EA">
      <w:pPr>
        <w:spacing w:line="500" w:lineRule="exact"/>
        <w:ind w:firstLine="645"/>
        <w:jc w:val="center"/>
        <w:rPr>
          <w:rFonts w:hint="eastAsia" w:ascii="宋体" w:hAnsi="宋体" w:cs="宋体"/>
          <w:b/>
          <w:bCs/>
          <w:kern w:val="0"/>
          <w:sz w:val="36"/>
          <w:szCs w:val="36"/>
        </w:rPr>
      </w:pPr>
    </w:p>
    <w:p w14:paraId="2F80177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8E54F8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36C9AC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F8EDF6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72DD77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A39BCB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6A6823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73C0D5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29259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B363F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5E5582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7AF75E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88BC5D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F84A92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A55E87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04318AAD">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6A4E508C">
      <w:pPr>
        <w:tabs>
          <w:tab w:val="center" w:pos="6979"/>
        </w:tabs>
        <w:spacing w:before="156" w:beforeLines="50" w:after="156" w:afterLines="50"/>
        <w:jc w:val="center"/>
        <w:rPr>
          <w:rFonts w:ascii="宋体" w:hAnsi="宋体" w:cs="宋体"/>
          <w:b/>
          <w:bCs/>
          <w:spacing w:val="40"/>
          <w:kern w:val="0"/>
          <w:sz w:val="32"/>
          <w:szCs w:val="32"/>
        </w:rPr>
      </w:pPr>
    </w:p>
    <w:p w14:paraId="700ABEA4">
      <w:pPr>
        <w:tabs>
          <w:tab w:val="center" w:pos="6979"/>
        </w:tabs>
        <w:spacing w:before="156" w:beforeLines="50" w:after="156" w:afterLines="50"/>
        <w:jc w:val="center"/>
        <w:rPr>
          <w:rFonts w:ascii="宋体" w:hAnsi="宋体" w:cs="宋体"/>
          <w:b/>
          <w:bCs/>
          <w:spacing w:val="40"/>
          <w:kern w:val="0"/>
          <w:sz w:val="32"/>
          <w:szCs w:val="32"/>
        </w:rPr>
      </w:pPr>
    </w:p>
    <w:p w14:paraId="408F0846">
      <w:pPr>
        <w:tabs>
          <w:tab w:val="center" w:pos="6979"/>
        </w:tabs>
        <w:spacing w:before="156" w:beforeLines="50" w:after="156" w:afterLines="50"/>
        <w:jc w:val="center"/>
        <w:rPr>
          <w:rFonts w:ascii="宋体" w:hAnsi="宋体" w:cs="宋体"/>
          <w:b/>
          <w:bCs/>
          <w:spacing w:val="40"/>
          <w:kern w:val="0"/>
          <w:sz w:val="32"/>
          <w:szCs w:val="32"/>
        </w:rPr>
      </w:pPr>
    </w:p>
    <w:p w14:paraId="7F9A6DEC">
      <w:pPr>
        <w:tabs>
          <w:tab w:val="center" w:pos="6979"/>
        </w:tabs>
        <w:spacing w:before="156" w:beforeLines="50" w:after="156" w:afterLines="50"/>
        <w:jc w:val="center"/>
        <w:rPr>
          <w:rFonts w:ascii="宋体" w:hAnsi="宋体" w:cs="宋体"/>
          <w:b/>
          <w:bCs/>
          <w:spacing w:val="40"/>
          <w:kern w:val="0"/>
          <w:sz w:val="32"/>
          <w:szCs w:val="32"/>
        </w:rPr>
      </w:pPr>
    </w:p>
    <w:p w14:paraId="48597247">
      <w:pPr>
        <w:tabs>
          <w:tab w:val="center" w:pos="6979"/>
        </w:tabs>
        <w:spacing w:before="156" w:beforeLines="50" w:after="156" w:afterLines="50"/>
        <w:jc w:val="center"/>
        <w:rPr>
          <w:rFonts w:ascii="宋体" w:hAnsi="宋体" w:cs="宋体"/>
          <w:b/>
          <w:bCs/>
          <w:spacing w:val="40"/>
          <w:kern w:val="0"/>
          <w:sz w:val="32"/>
          <w:szCs w:val="32"/>
        </w:rPr>
      </w:pPr>
    </w:p>
    <w:p w14:paraId="7ED34F08">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416B0E4">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7861150F">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lang w:eastAsia="zh-CN"/>
        </w:rPr>
        <w:t>2024</w:t>
      </w:r>
      <w:r>
        <w:rPr>
          <w:rFonts w:hint="eastAsia" w:ascii="宋体" w:hAnsi="宋体"/>
          <w:b/>
          <w:spacing w:val="40"/>
          <w:sz w:val="32"/>
          <w:szCs w:val="32"/>
        </w:rPr>
        <w:t>年度部门决算说明</w:t>
      </w:r>
    </w:p>
    <w:p w14:paraId="6C0B2DF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460275E4">
      <w:pPr>
        <w:tabs>
          <w:tab w:val="center" w:pos="6979"/>
        </w:tabs>
        <w:spacing w:line="580"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中国戏曲学院为公益二类事业单位，是新中国成立的第一所戏曲学校，是中国戏曲教育的最高学府。学院以其专业最完备、培养体系最健全、优质师资最集中、输送高端专业人才最多、业内贡献最大，在全国戏曲教育领域中发挥着引领和示范作用，被誉为“中国高端戏曲人才培养的摇篮”。</w:t>
      </w:r>
    </w:p>
    <w:p w14:paraId="514B0505">
      <w:pPr>
        <w:pStyle w:val="9"/>
        <w:shd w:val="clear" w:color="auto" w:fill="FFFFFF"/>
        <w:spacing w:before="0" w:beforeAutospacing="0" w:after="0" w:afterAutospacing="0" w:line="450" w:lineRule="atLeast"/>
        <w:ind w:firstLine="480"/>
        <w:rPr>
          <w:rFonts w:hint="eastAsia" w:ascii="仿宋_GB2312" w:hAnsi="仿宋_GB2312" w:eastAsia="仿宋_GB2312" w:cs="仿宋_GB2312"/>
          <w:b w:val="0"/>
          <w:sz w:val="28"/>
          <w:szCs w:val="28"/>
        </w:rPr>
      </w:pPr>
      <w:r>
        <w:rPr>
          <w:rFonts w:hint="eastAsia" w:ascii="仿宋_GB2312" w:hAnsi="仿宋_GB2312" w:eastAsia="仿宋_GB2312" w:cs="仿宋_GB2312"/>
          <w:b w:val="0"/>
          <w:sz w:val="28"/>
          <w:szCs w:val="28"/>
        </w:rPr>
        <w:t>学校秉承“德艺双馨、继往开来”的校训，弘扬“薪火相传、守正创新”的传统，始终以继承和弘扬中华优秀传统文化为己任，为全国各艺术院团、研究机构、艺术院校、艺术管理部门输送大批专业人才，为新中国戏曲事业的繁荣和发展，为中华优秀传统文化的传承和创新作出了突出贡献。</w:t>
      </w:r>
    </w:p>
    <w:p w14:paraId="04D2B04C">
      <w:pPr>
        <w:pStyle w:val="9"/>
        <w:shd w:val="clear" w:color="auto" w:fill="FFFFFF"/>
        <w:spacing w:before="0" w:beforeAutospacing="0" w:after="0" w:afterAutospacing="0" w:line="450" w:lineRule="atLeast"/>
        <w:ind w:firstLine="480"/>
        <w:rPr>
          <w:rFonts w:hint="eastAsia" w:ascii="仿宋_GB2312" w:hAnsi="仿宋_GB2312" w:eastAsia="仿宋_GB2312" w:cs="仿宋_GB2312"/>
          <w:sz w:val="28"/>
          <w:szCs w:val="28"/>
        </w:rPr>
      </w:pPr>
      <w:r>
        <w:rPr>
          <w:rFonts w:hint="eastAsia" w:ascii="仿宋_GB2312" w:hAnsi="仿宋_GB2312" w:eastAsia="仿宋_GB2312" w:cs="仿宋_GB2312"/>
          <w:b w:val="0"/>
          <w:sz w:val="28"/>
          <w:szCs w:val="28"/>
        </w:rPr>
        <w:t>2020年10月23日，习近平总书记给学院师生回信，充分肯定了学院办学取得的可喜成果，对传承发展好戏曲艺术提出殷切期望。他强调，戏曲是中华文化的瑰宝，繁荣发展戏曲事业关键在人。希望中国戏曲学院以建校70周年为新起点，全面贯彻党的教育方针，落实立德树人根本任务，引导广大师生坚定文化自信，弘扬优良传统，坚持守正创新，在教学相长中探寻艺术真谛，在服务人民中砥砺从艺初心，为传承中华优秀传统文化、建设社会主义文化强国作出新的更大的贡献。当前，学院正以习近平总书记重要回信精神为根本遵循，深入推进“戏曲人才培养中心、戏曲理论研究中心、戏曲传承与创新中心、中外戏剧交流与合作中心”建设，努力朝着中国一流、世界知名戏曲艺术大学的目标不懈奋斗。</w:t>
      </w:r>
    </w:p>
    <w:p w14:paraId="79A9AFE0">
      <w:pPr>
        <w:tabs>
          <w:tab w:val="center" w:pos="6979"/>
        </w:tabs>
        <w:spacing w:line="580" w:lineRule="exact"/>
        <w:ind w:firstLine="560" w:firstLineChars="200"/>
        <w:jc w:val="left"/>
        <w:rPr>
          <w:rFonts w:ascii="仿宋_GB2312" w:eastAsia="仿宋_GB2312"/>
          <w:kern w:val="0"/>
          <w:sz w:val="28"/>
          <w:szCs w:val="28"/>
        </w:rPr>
      </w:pPr>
      <w:r>
        <w:rPr>
          <w:rFonts w:hint="eastAsia" w:ascii="仿宋_GB2312" w:hAnsi="仿宋_GB2312" w:eastAsia="仿宋_GB2312" w:cs="仿宋_GB2312"/>
          <w:kern w:val="0"/>
          <w:sz w:val="28"/>
          <w:szCs w:val="28"/>
        </w:rPr>
        <w:t>中国戏曲学院目前设有党院办公室、巡察办公室，党委组织部（党校）、统战部、机关党委，党委宣传部（新闻中心），纪检监察办公室，工会、离退休办公室，保卫工作部（处），学生工作部（处）、武装部、团委，研究生处，教务处，科研处（学术委员会秘书处、国家社科重大项目国戏办公室、北京市戏曲研究与传播基地办公室、研究所），人事处、教师工作部、教师发展中心，交流合作部（港澳台事务办公室），财务处，审计处，信息网络中心、图书馆，艺术实践管理中心，后勤管理中心，京昆系，表演系，导演系，音乐系，戏曲文学系，舞台美术系，艺术管理与文化交流系，思政理论课教学部（马克思主义学院），继续教育部（戏曲艺术教育中心、北京市学校中华传统文化促进会秘书处及办公室），中国京剧优秀青年演员研究生班，附中，共计28个</w:t>
      </w:r>
      <w:r>
        <w:rPr>
          <w:rFonts w:hint="eastAsia" w:ascii="仿宋_GB2312" w:hAnsi="仿宋_GB2312" w:eastAsia="仿宋_GB2312" w:cs="仿宋_GB2312"/>
          <w:kern w:val="0"/>
          <w:sz w:val="28"/>
          <w:szCs w:val="28"/>
          <w:lang w:eastAsia="zh-CN"/>
        </w:rPr>
        <w:t>机构</w:t>
      </w:r>
      <w:r>
        <w:rPr>
          <w:rFonts w:hint="eastAsia" w:ascii="仿宋_GB2312" w:hAnsi="仿宋_GB2312" w:eastAsia="仿宋_GB2312" w:cs="仿宋_GB2312"/>
          <w:kern w:val="0"/>
          <w:sz w:val="28"/>
          <w:szCs w:val="28"/>
        </w:rPr>
        <w:t>。</w:t>
      </w:r>
    </w:p>
    <w:p w14:paraId="09B36B58">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33182F1D">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50582.89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7273.82</w:t>
      </w:r>
      <w:r>
        <w:rPr>
          <w:rFonts w:hint="eastAsia" w:ascii="仿宋_GB2312" w:eastAsia="仿宋_GB2312"/>
          <w:sz w:val="28"/>
          <w:szCs w:val="28"/>
        </w:rPr>
        <w:t>万元，增长</w:t>
      </w:r>
      <w:r>
        <w:rPr>
          <w:rFonts w:hint="eastAsia" w:ascii="仿宋_GB2312" w:eastAsia="仿宋_GB2312"/>
          <w:sz w:val="28"/>
          <w:szCs w:val="28"/>
          <w:lang w:val="en-US" w:eastAsia="zh-CN"/>
        </w:rPr>
        <w:t>16.80</w:t>
      </w:r>
      <w:r>
        <w:rPr>
          <w:rFonts w:hint="eastAsia" w:ascii="仿宋_GB2312" w:eastAsia="仿宋_GB2312"/>
          <w:sz w:val="28"/>
          <w:szCs w:val="28"/>
        </w:rPr>
        <w:t>%。</w:t>
      </w:r>
    </w:p>
    <w:p w14:paraId="42C93A5F">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46C3FF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47645.95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9234.09</w:t>
      </w:r>
      <w:r>
        <w:rPr>
          <w:rFonts w:hint="eastAsia" w:ascii="仿宋_GB2312" w:eastAsia="仿宋_GB2312"/>
          <w:sz w:val="28"/>
          <w:szCs w:val="28"/>
        </w:rPr>
        <w:t>万元，增长</w:t>
      </w:r>
      <w:r>
        <w:rPr>
          <w:rFonts w:hint="eastAsia" w:ascii="仿宋_GB2312" w:eastAsia="仿宋_GB2312"/>
          <w:sz w:val="28"/>
          <w:szCs w:val="28"/>
          <w:lang w:val="en-US" w:eastAsia="zh-CN"/>
        </w:rPr>
        <w:t>24.04</w:t>
      </w:r>
      <w:r>
        <w:rPr>
          <w:rFonts w:hint="eastAsia" w:ascii="仿宋_GB2312" w:eastAsia="仿宋_GB2312"/>
          <w:sz w:val="28"/>
          <w:szCs w:val="28"/>
        </w:rPr>
        <w:t>%</w:t>
      </w:r>
      <w:r>
        <w:rPr>
          <w:rFonts w:hint="eastAsia" w:ascii="仿宋_GB2312" w:eastAsia="仿宋_GB2312"/>
          <w:sz w:val="28"/>
          <w:szCs w:val="28"/>
          <w:lang w:eastAsia="zh-CN"/>
        </w:rPr>
        <w:t>。</w:t>
      </w:r>
    </w:p>
    <w:p w14:paraId="72DA833C">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43054.13</w:t>
      </w:r>
      <w:r>
        <w:rPr>
          <w:rFonts w:hint="eastAsia" w:ascii="仿宋_GB2312" w:eastAsia="仿宋_GB2312"/>
          <w:sz w:val="28"/>
          <w:szCs w:val="28"/>
        </w:rPr>
        <w:t>万元，占收入合计的</w:t>
      </w:r>
      <w:r>
        <w:rPr>
          <w:rFonts w:hint="eastAsia" w:ascii="仿宋_GB2312" w:eastAsia="仿宋_GB2312"/>
          <w:sz w:val="28"/>
          <w:szCs w:val="28"/>
          <w:lang w:eastAsia="zh-CN"/>
        </w:rPr>
        <w:t>90.36%</w:t>
      </w:r>
      <w:r>
        <w:rPr>
          <w:rFonts w:hint="eastAsia" w:ascii="仿宋_GB2312" w:eastAsia="仿宋_GB2312"/>
          <w:sz w:val="28"/>
          <w:szCs w:val="28"/>
        </w:rPr>
        <w:t>。其中：一般公共预算财政拨款收入</w:t>
      </w:r>
      <w:r>
        <w:rPr>
          <w:rFonts w:ascii="仿宋_GB2312" w:eastAsia="仿宋_GB2312"/>
          <w:sz w:val="28"/>
          <w:szCs w:val="28"/>
        </w:rPr>
        <w:t>43054.13</w:t>
      </w:r>
      <w:r>
        <w:rPr>
          <w:rFonts w:hint="eastAsia" w:ascii="仿宋_GB2312" w:eastAsia="仿宋_GB2312"/>
          <w:sz w:val="28"/>
          <w:szCs w:val="28"/>
        </w:rPr>
        <w:t>万元，占收入合计的</w:t>
      </w:r>
      <w:r>
        <w:rPr>
          <w:rFonts w:hint="eastAsia" w:ascii="仿宋_GB2312" w:eastAsia="仿宋_GB2312"/>
          <w:sz w:val="28"/>
          <w:szCs w:val="28"/>
          <w:lang w:eastAsia="zh-CN"/>
        </w:rPr>
        <w:t>90.36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440013A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57884AA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2819.65</w:t>
      </w:r>
      <w:r>
        <w:rPr>
          <w:rFonts w:hint="eastAsia" w:ascii="仿宋_GB2312" w:eastAsia="仿宋_GB2312"/>
          <w:sz w:val="28"/>
          <w:szCs w:val="28"/>
        </w:rPr>
        <w:t>万元，占收入合计的</w:t>
      </w:r>
      <w:r>
        <w:rPr>
          <w:rFonts w:hint="eastAsia" w:ascii="仿宋_GB2312" w:eastAsia="仿宋_GB2312"/>
          <w:sz w:val="28"/>
          <w:szCs w:val="28"/>
          <w:lang w:eastAsia="zh-CN"/>
        </w:rPr>
        <w:t>5.92</w:t>
      </w:r>
      <w:r>
        <w:rPr>
          <w:rFonts w:hint="eastAsia" w:ascii="仿宋_GB2312" w:eastAsia="仿宋_GB2312"/>
          <w:sz w:val="28"/>
          <w:szCs w:val="28"/>
        </w:rPr>
        <w:t>%；</w:t>
      </w:r>
    </w:p>
    <w:p w14:paraId="682258A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6F6DE1B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3620C9B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1772.1</w:t>
      </w:r>
      <w:r>
        <w:rPr>
          <w:rFonts w:hint="eastAsia" w:ascii="仿宋_GB2312" w:eastAsia="仿宋_GB2312"/>
          <w:sz w:val="28"/>
          <w:szCs w:val="28"/>
          <w:lang w:val="en-US" w:eastAsia="zh-CN"/>
        </w:rPr>
        <w:t>7</w:t>
      </w:r>
      <w:r>
        <w:rPr>
          <w:rFonts w:hint="eastAsia" w:ascii="仿宋_GB2312" w:eastAsia="仿宋_GB2312"/>
          <w:sz w:val="28"/>
          <w:szCs w:val="28"/>
        </w:rPr>
        <w:t>万元，占收入合计的</w:t>
      </w:r>
      <w:r>
        <w:rPr>
          <w:rFonts w:hint="eastAsia" w:ascii="仿宋_GB2312" w:eastAsia="仿宋_GB2312"/>
          <w:sz w:val="28"/>
          <w:szCs w:val="28"/>
          <w:lang w:eastAsia="zh-CN"/>
        </w:rPr>
        <w:t>3.72</w:t>
      </w:r>
      <w:r>
        <w:rPr>
          <w:rFonts w:hint="eastAsia" w:ascii="仿宋_GB2312" w:eastAsia="仿宋_GB2312"/>
          <w:sz w:val="28"/>
          <w:szCs w:val="28"/>
        </w:rPr>
        <w:t>%。</w:t>
      </w:r>
    </w:p>
    <w:p w14:paraId="5E628DE6">
      <w:pPr>
        <w:pStyle w:val="2"/>
        <w:jc w:val="center"/>
        <w:rPr>
          <w:rFonts w:hint="eastAsia"/>
        </w:rPr>
      </w:pPr>
      <w:r>
        <w:rPr>
          <w:rFonts w:hint="eastAsia" w:ascii="仿宋_GB2312" w:eastAsia="仿宋_GB2312"/>
          <w:color w:val="000000"/>
          <w:sz w:val="32"/>
        </w:rPr>
        <w:t>图1：收入决算</w:t>
      </w:r>
    </w:p>
    <w:p w14:paraId="02E8E302">
      <w:pPr>
        <w:pStyle w:val="3"/>
        <w:ind w:firstLine="420"/>
        <w:jc w:val="center"/>
      </w:pPr>
      <w:r>
        <w:drawing>
          <wp:inline distT="0" distB="0" distL="0" distR="0">
            <wp:extent cx="4036695" cy="2328545"/>
            <wp:effectExtent l="4445" t="4445" r="12700" b="1397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6CF1645">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487B5C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49038.68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8651.70</w:t>
      </w:r>
      <w:r>
        <w:rPr>
          <w:rFonts w:hint="eastAsia" w:ascii="仿宋_GB2312" w:eastAsia="仿宋_GB2312"/>
          <w:sz w:val="28"/>
          <w:szCs w:val="28"/>
        </w:rPr>
        <w:t>万元，增长</w:t>
      </w:r>
      <w:r>
        <w:rPr>
          <w:rFonts w:hint="eastAsia" w:ascii="仿宋_GB2312" w:eastAsia="仿宋_GB2312"/>
          <w:sz w:val="28"/>
          <w:szCs w:val="28"/>
          <w:lang w:val="en-US" w:eastAsia="zh-CN"/>
        </w:rPr>
        <w:t>21.42</w:t>
      </w:r>
      <w:r>
        <w:rPr>
          <w:rFonts w:hint="eastAsia" w:ascii="仿宋_GB2312" w:eastAsia="仿宋_GB2312"/>
          <w:sz w:val="28"/>
          <w:szCs w:val="28"/>
        </w:rPr>
        <w:t>%，其中：基本支出</w:t>
      </w:r>
      <w:r>
        <w:rPr>
          <w:rFonts w:ascii="仿宋_GB2312" w:eastAsia="仿宋_GB2312"/>
          <w:sz w:val="28"/>
          <w:szCs w:val="28"/>
        </w:rPr>
        <w:t>35314.48</w:t>
      </w:r>
      <w:r>
        <w:rPr>
          <w:rFonts w:hint="eastAsia" w:ascii="仿宋_GB2312" w:eastAsia="仿宋_GB2312"/>
          <w:sz w:val="28"/>
          <w:szCs w:val="28"/>
        </w:rPr>
        <w:t>万元，占支出合计的</w:t>
      </w:r>
      <w:r>
        <w:rPr>
          <w:rFonts w:hint="eastAsia" w:ascii="仿宋_GB2312" w:eastAsia="仿宋_GB2312"/>
          <w:sz w:val="28"/>
          <w:szCs w:val="28"/>
          <w:lang w:eastAsia="zh-CN"/>
        </w:rPr>
        <w:t>72.01</w:t>
      </w:r>
      <w:r>
        <w:rPr>
          <w:rFonts w:hint="eastAsia" w:ascii="仿宋_GB2312" w:eastAsia="仿宋_GB2312"/>
          <w:sz w:val="28"/>
          <w:szCs w:val="28"/>
        </w:rPr>
        <w:t>%；项目支出</w:t>
      </w:r>
      <w:r>
        <w:rPr>
          <w:rFonts w:ascii="仿宋_GB2312" w:eastAsia="仿宋_GB2312"/>
          <w:sz w:val="28"/>
          <w:szCs w:val="28"/>
        </w:rPr>
        <w:t>13724.2</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27.99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6C3A7CE6">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29C0F33">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FA8B788">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0F2308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43741.85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8717.52</w:t>
      </w:r>
      <w:r>
        <w:rPr>
          <w:rFonts w:hint="eastAsia" w:ascii="仿宋_GB2312" w:eastAsia="仿宋_GB2312"/>
          <w:sz w:val="28"/>
          <w:szCs w:val="28"/>
        </w:rPr>
        <w:t>万元，增长</w:t>
      </w:r>
      <w:r>
        <w:rPr>
          <w:rFonts w:hint="eastAsia" w:ascii="仿宋_GB2312" w:eastAsia="仿宋_GB2312"/>
          <w:sz w:val="28"/>
          <w:szCs w:val="28"/>
          <w:lang w:val="en-US" w:eastAsia="zh-CN"/>
        </w:rPr>
        <w:t>24.89%</w:t>
      </w:r>
      <w:r>
        <w:rPr>
          <w:rFonts w:hint="eastAsia" w:ascii="仿宋_GB2312" w:eastAsia="仿宋_GB2312"/>
          <w:sz w:val="28"/>
          <w:szCs w:val="28"/>
        </w:rPr>
        <w:t>。主要原因：新增中国戏曲学院附属中学原址翻建工程。</w:t>
      </w:r>
    </w:p>
    <w:p w14:paraId="24C5F6A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0AE289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F97BAA1">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43347.48</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43347.48</w:t>
      </w:r>
      <w:r>
        <w:rPr>
          <w:rFonts w:hint="eastAsia" w:ascii="仿宋_GB2312" w:eastAsia="仿宋_GB2312"/>
          <w:sz w:val="28"/>
          <w:szCs w:val="28"/>
        </w:rPr>
        <w:t>万元，占本年财政拨款支</w:t>
      </w:r>
      <w:r>
        <w:rPr>
          <w:rFonts w:hint="eastAsia" w:ascii="仿宋_GB2312" w:eastAsia="仿宋_GB2312"/>
          <w:sz w:val="28"/>
          <w:szCs w:val="28"/>
          <w:highlight w:val="none"/>
        </w:rPr>
        <w:t>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14:paraId="218A9F7B">
      <w:pPr>
        <w:autoSpaceDE w:val="0"/>
        <w:autoSpaceDN w:val="0"/>
        <w:adjustRightInd w:val="0"/>
        <w:spacing w:line="580" w:lineRule="exact"/>
        <w:ind w:firstLine="560" w:firstLineChars="200"/>
        <w:jc w:val="left"/>
        <w:rPr>
          <w:rFonts w:hint="eastAsia" w:ascii="仿宋_GB2312" w:eastAsia="仿宋_GB2312"/>
          <w:sz w:val="28"/>
          <w:szCs w:val="28"/>
          <w:highlight w:val="yellow"/>
        </w:rPr>
      </w:pPr>
      <w:r>
        <w:rPr>
          <w:rFonts w:hint="eastAsia" w:ascii="仿宋_GB2312" w:eastAsia="仿宋_GB2312"/>
          <w:sz w:val="28"/>
          <w:szCs w:val="28"/>
        </w:rPr>
        <w:t>（二</w:t>
      </w:r>
      <w:r>
        <w:rPr>
          <w:rFonts w:hint="eastAsia" w:ascii="仿宋_GB2312" w:eastAsia="仿宋_GB2312"/>
          <w:sz w:val="28"/>
          <w:szCs w:val="28"/>
          <w:highlight w:val="none"/>
        </w:rPr>
        <w:t>）一般公共预算财政拨款支出决算具体情况</w:t>
      </w:r>
    </w:p>
    <w:p w14:paraId="11674ED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34421.96万元，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43347.48</w:t>
      </w:r>
      <w:r>
        <w:rPr>
          <w:rFonts w:hint="eastAsia" w:ascii="仿宋_GB2312" w:eastAsia="仿宋_GB2312"/>
          <w:sz w:val="28"/>
          <w:szCs w:val="28"/>
        </w:rPr>
        <w:t>万元，</w:t>
      </w:r>
      <w:r>
        <w:rPr>
          <w:rFonts w:hint="eastAsia" w:ascii="仿宋_GB2312" w:eastAsia="仿宋_GB2312"/>
          <w:sz w:val="28"/>
          <w:szCs w:val="28"/>
          <w:lang w:val="en-US" w:eastAsia="zh-CN"/>
        </w:rPr>
        <w:t>完成年初预算的125.93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14:paraId="4B0A2BDA">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25956.73万元，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34859.37</w:t>
      </w:r>
      <w:r>
        <w:rPr>
          <w:rFonts w:hint="eastAsia" w:ascii="仿宋_GB2312" w:eastAsia="仿宋_GB2312"/>
          <w:sz w:val="28"/>
          <w:szCs w:val="28"/>
        </w:rPr>
        <w:t>万元，</w:t>
      </w:r>
      <w:r>
        <w:rPr>
          <w:rFonts w:hint="eastAsia" w:ascii="仿宋_GB2312" w:eastAsia="仿宋_GB2312"/>
          <w:sz w:val="28"/>
          <w:szCs w:val="28"/>
          <w:lang w:val="en-US" w:eastAsia="zh-CN"/>
        </w:rPr>
        <w:t>完成年初预算的134.30</w:t>
      </w:r>
      <w:r>
        <w:rPr>
          <w:rFonts w:hint="eastAsia" w:ascii="仿宋_GB2312" w:eastAsia="仿宋_GB2312"/>
          <w:sz w:val="28"/>
          <w:szCs w:val="28"/>
        </w:rPr>
        <w:t>%。主要原因：新增中国戏曲学院附属中学原址翻建工程。</w:t>
      </w:r>
    </w:p>
    <w:p w14:paraId="0DC5681F">
      <w:pPr>
        <w:spacing w:line="580" w:lineRule="exact"/>
        <w:ind w:firstLine="560" w:firstLineChars="200"/>
      </w:pPr>
      <w:r>
        <w:rPr>
          <w:rFonts w:hint="eastAsia" w:ascii="仿宋_GB2312" w:eastAsia="仿宋_GB2312"/>
          <w:sz w:val="28"/>
          <w:szCs w:val="28"/>
        </w:rPr>
        <w:t>“职业教育”</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8465.23万元，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8488.11</w:t>
      </w:r>
      <w:r>
        <w:rPr>
          <w:rFonts w:hint="eastAsia" w:ascii="仿宋_GB2312" w:eastAsia="仿宋_GB2312"/>
          <w:sz w:val="28"/>
          <w:szCs w:val="28"/>
        </w:rPr>
        <w:t>万元，</w:t>
      </w:r>
      <w:r>
        <w:rPr>
          <w:rFonts w:hint="eastAsia" w:ascii="仿宋_GB2312" w:eastAsia="仿宋_GB2312"/>
          <w:sz w:val="28"/>
          <w:szCs w:val="28"/>
          <w:lang w:val="en-US" w:eastAsia="zh-CN"/>
        </w:rPr>
        <w:t>完成年初预算的100.27</w:t>
      </w:r>
      <w:r>
        <w:rPr>
          <w:rFonts w:hint="eastAsia" w:ascii="仿宋_GB2312" w:eastAsia="仿宋_GB2312"/>
          <w:sz w:val="28"/>
          <w:szCs w:val="28"/>
        </w:rPr>
        <w:t>%。主要原因：根据学院事业发展规划，年中增加项目支出。</w:t>
      </w:r>
    </w:p>
    <w:p w14:paraId="3B5241EF">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bookmarkStart w:id="1" w:name="_GoBack"/>
      <w:bookmarkEnd w:id="1"/>
    </w:p>
    <w:p w14:paraId="795477D6">
      <w:pPr>
        <w:spacing w:line="580" w:lineRule="exact"/>
        <w:ind w:firstLine="560" w:firstLineChars="200"/>
        <w:rPr>
          <w:rFonts w:hint="eastAsia" w:ascii="黑体" w:eastAsia="黑体"/>
          <w:b/>
          <w:sz w:val="28"/>
          <w:szCs w:val="28"/>
        </w:rPr>
      </w:pPr>
      <w:r>
        <w:rPr>
          <w:rFonts w:hint="eastAsia" w:ascii="仿宋_GB2312" w:eastAsia="仿宋_GB2312"/>
          <w:sz w:val="28"/>
          <w:szCs w:val="28"/>
        </w:rPr>
        <w:t>本年度无此项支出。</w:t>
      </w:r>
    </w:p>
    <w:p w14:paraId="48884C3C">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9C09349">
      <w:pPr>
        <w:ind w:firstLine="537" w:firstLineChars="192"/>
      </w:pPr>
      <w:r>
        <w:rPr>
          <w:rFonts w:hint="eastAsia" w:ascii="仿宋_GB2312" w:eastAsia="仿宋_GB2312"/>
          <w:sz w:val="28"/>
          <w:szCs w:val="28"/>
        </w:rPr>
        <w:t>本年度无此项经费。</w:t>
      </w:r>
    </w:p>
    <w:p w14:paraId="485EC8E5">
      <w:pPr>
        <w:spacing w:line="580" w:lineRule="exact"/>
        <w:ind w:firstLine="548" w:firstLineChars="196"/>
        <w:rPr>
          <w:rFonts w:ascii="黑体" w:eastAsia="黑体"/>
          <w:sz w:val="28"/>
          <w:szCs w:val="28"/>
        </w:rPr>
      </w:pPr>
      <w:r>
        <w:rPr>
          <w:rFonts w:hint="eastAsia" w:ascii="黑体" w:eastAsia="黑体"/>
          <w:b/>
          <w:sz w:val="28"/>
          <w:szCs w:val="28"/>
        </w:rPr>
        <w:t>七、</w:t>
      </w:r>
      <w:r>
        <w:rPr>
          <w:rFonts w:hint="eastAsia" w:ascii="黑体" w:eastAsia="黑体"/>
          <w:b/>
          <w:sz w:val="28"/>
          <w:szCs w:val="28"/>
          <w:highlight w:val="none"/>
        </w:rPr>
        <w:t>财政拨款基本支出决算情况说明</w:t>
      </w:r>
    </w:p>
    <w:p w14:paraId="51F3E860">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年度使用一般公共预算财政拨款安排基本支出</w:t>
      </w:r>
      <w:r>
        <w:rPr>
          <w:rFonts w:ascii="仿宋_GB2312" w:eastAsia="仿宋_GB2312"/>
          <w:sz w:val="28"/>
          <w:szCs w:val="28"/>
        </w:rPr>
        <w:t>30603.88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4492FF1">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lang w:eastAsia="zh-CN"/>
        </w:rPr>
        <w:t>2</w:t>
      </w:r>
      <w:r>
        <w:rPr>
          <w:rFonts w:hint="eastAsia" w:ascii="宋体" w:hAnsi="宋体"/>
          <w:b/>
          <w:spacing w:val="40"/>
          <w:sz w:val="32"/>
          <w:szCs w:val="32"/>
          <w:lang w:eastAsia="zh-CN"/>
        </w:rPr>
        <w:t>024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3A2E5A2">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25835B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50.5</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与2024</w:t>
      </w:r>
      <w:r>
        <w:rPr>
          <w:rFonts w:hint="eastAsia" w:ascii="仿宋_GB2312" w:eastAsia="仿宋_GB2312"/>
          <w:sz w:val="28"/>
          <w:szCs w:val="28"/>
        </w:rPr>
        <w:t>年度“三公”经费财政拨款年初预算</w:t>
      </w:r>
      <w:r>
        <w:rPr>
          <w:rFonts w:ascii="仿宋_GB2312" w:eastAsia="仿宋_GB2312"/>
          <w:sz w:val="28"/>
          <w:szCs w:val="28"/>
        </w:rPr>
        <w:t>50.5</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。其中：</w:t>
      </w:r>
    </w:p>
    <w:p w14:paraId="14A3B70C">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28.5</w:t>
      </w:r>
      <w:r>
        <w:rPr>
          <w:rFonts w:hint="eastAsia" w:ascii="仿宋_GB2312" w:eastAsia="仿宋_GB2312"/>
          <w:sz w:val="28"/>
          <w:szCs w:val="28"/>
          <w:lang w:val="en-US" w:eastAsia="zh-CN"/>
        </w:rPr>
        <w:t>0</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年度因公出国（境）费用主要用于文化交流演出等方面，包括赴</w:t>
      </w:r>
      <w:r>
        <w:rPr>
          <w:rFonts w:hint="eastAsia" w:ascii="仿宋_GB2312" w:eastAsia="仿宋_GB2312"/>
          <w:sz w:val="28"/>
          <w:szCs w:val="28"/>
          <w:lang w:eastAsia="zh-CN"/>
        </w:rPr>
        <w:t>泰国和</w:t>
      </w:r>
      <w:r>
        <w:rPr>
          <w:rFonts w:hint="eastAsia" w:ascii="仿宋_GB2312" w:eastAsia="仿宋_GB2312"/>
          <w:sz w:val="28"/>
          <w:szCs w:val="28"/>
        </w:rPr>
        <w:t>新加坡开展</w:t>
      </w:r>
      <w:r>
        <w:rPr>
          <w:rFonts w:hint="eastAsia" w:ascii="仿宋_GB2312" w:eastAsia="仿宋_GB2312"/>
          <w:sz w:val="28"/>
          <w:szCs w:val="28"/>
          <w:lang w:eastAsia="zh-CN"/>
        </w:rPr>
        <w:t>校际交流和艺术</w:t>
      </w:r>
      <w:r>
        <w:rPr>
          <w:rFonts w:hint="eastAsia" w:ascii="仿宋_GB2312" w:eastAsia="仿宋_GB2312"/>
          <w:sz w:val="28"/>
          <w:szCs w:val="28"/>
        </w:rPr>
        <w:t>交流活动、巴黎中国</w:t>
      </w:r>
      <w:r>
        <w:rPr>
          <w:rFonts w:hint="eastAsia" w:ascii="仿宋_GB2312" w:eastAsia="仿宋_GB2312"/>
          <w:sz w:val="28"/>
          <w:szCs w:val="28"/>
          <w:lang w:eastAsia="zh-CN"/>
        </w:rPr>
        <w:t>戏曲节</w:t>
      </w:r>
      <w:r>
        <w:rPr>
          <w:rFonts w:hint="eastAsia" w:ascii="仿宋_GB2312" w:eastAsia="仿宋_GB2312"/>
          <w:sz w:val="28"/>
          <w:szCs w:val="28"/>
        </w:rPr>
        <w:t>赴法</w:t>
      </w:r>
      <w:r>
        <w:rPr>
          <w:rFonts w:hint="eastAsia" w:ascii="仿宋_GB2312" w:eastAsia="仿宋_GB2312"/>
          <w:sz w:val="28"/>
          <w:szCs w:val="28"/>
          <w:lang w:eastAsia="zh-CN"/>
        </w:rPr>
        <w:t>交流演出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4</w:t>
      </w:r>
      <w:r>
        <w:rPr>
          <w:rFonts w:hint="eastAsia" w:ascii="仿宋_GB2312" w:eastAsia="仿宋_GB2312"/>
          <w:sz w:val="28"/>
          <w:szCs w:val="28"/>
        </w:rPr>
        <w:t>个、</w:t>
      </w:r>
      <w:r>
        <w:rPr>
          <w:rFonts w:hint="eastAsia" w:ascii="仿宋_GB2312" w:eastAsia="仿宋_GB2312"/>
          <w:sz w:val="28"/>
          <w:szCs w:val="28"/>
          <w:lang w:eastAsia="zh-CN"/>
        </w:rPr>
        <w:t>28</w:t>
      </w:r>
      <w:r>
        <w:rPr>
          <w:rFonts w:hint="eastAsia" w:ascii="仿宋_GB2312" w:eastAsia="仿宋_GB2312"/>
          <w:sz w:val="28"/>
          <w:szCs w:val="28"/>
        </w:rPr>
        <w:t>人次。</w:t>
      </w:r>
    </w:p>
    <w:p w14:paraId="27A056EB">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1908533E">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22</w:t>
      </w:r>
      <w:r>
        <w:rPr>
          <w:rFonts w:hint="eastAsia" w:ascii="仿宋_GB2312" w:eastAsia="仿宋_GB2312"/>
          <w:sz w:val="28"/>
          <w:szCs w:val="28"/>
          <w:lang w:val="en-US" w:eastAsia="zh-CN"/>
        </w:rPr>
        <w:t>.00</w:t>
      </w:r>
      <w:r>
        <w:rPr>
          <w:rFonts w:hint="eastAsia" w:ascii="仿宋_GB2312" w:eastAsia="仿宋_GB2312"/>
          <w:sz w:val="28"/>
          <w:szCs w:val="28"/>
        </w:rPr>
        <w:t>万元，与202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w:t>
      </w:r>
      <w:r>
        <w:rPr>
          <w:rFonts w:hint="eastAsia" w:ascii="仿宋_GB2312" w:eastAsia="仿宋_GB2312"/>
          <w:sz w:val="28"/>
          <w:szCs w:val="28"/>
          <w:highlight w:val="none"/>
          <w:lang w:eastAsia="zh-CN"/>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22.00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与202</w:t>
      </w:r>
      <w:r>
        <w:rPr>
          <w:rFonts w:hint="eastAsia" w:ascii="仿宋_GB2312" w:eastAsia="仿宋_GB2312"/>
          <w:sz w:val="28"/>
          <w:szCs w:val="28"/>
          <w:lang w:val="en-US" w:eastAsia="zh-CN"/>
        </w:rPr>
        <w:t>4</w:t>
      </w:r>
      <w:r>
        <w:rPr>
          <w:rFonts w:hint="eastAsia" w:ascii="仿宋_GB2312" w:eastAsia="仿宋_GB2312"/>
          <w:sz w:val="28"/>
          <w:szCs w:val="28"/>
        </w:rPr>
        <w:t>年度年初预算数持平。202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9</w:t>
      </w:r>
      <w:r>
        <w:rPr>
          <w:rFonts w:hint="eastAsia" w:ascii="仿宋_GB2312" w:eastAsia="仿宋_GB2312"/>
          <w:sz w:val="28"/>
          <w:szCs w:val="28"/>
        </w:rPr>
        <w:t>辆。</w:t>
      </w:r>
    </w:p>
    <w:p w14:paraId="5B906202">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4CB0B967">
      <w:pPr>
        <w:ind w:firstLine="537" w:firstLineChars="192"/>
        <w:rPr>
          <w:rFonts w:ascii="仿宋_GB2312" w:eastAsia="仿宋_GB2312"/>
          <w:sz w:val="28"/>
          <w:szCs w:val="28"/>
        </w:rPr>
      </w:pPr>
      <w:r>
        <w:rPr>
          <w:rFonts w:hint="eastAsia" w:ascii="仿宋_GB2312" w:eastAsia="仿宋_GB2312"/>
          <w:sz w:val="28"/>
          <w:szCs w:val="28"/>
        </w:rPr>
        <w:t>不属于机关运行经费统计范围。</w:t>
      </w:r>
    </w:p>
    <w:p w14:paraId="341BC4C3">
      <w:pPr>
        <w:ind w:left="540"/>
        <w:rPr>
          <w:rFonts w:ascii="黑体" w:eastAsia="黑体"/>
          <w:sz w:val="28"/>
          <w:szCs w:val="28"/>
        </w:rPr>
      </w:pPr>
      <w:r>
        <w:rPr>
          <w:rFonts w:hint="eastAsia" w:ascii="黑体" w:eastAsia="黑体"/>
          <w:sz w:val="28"/>
          <w:szCs w:val="28"/>
        </w:rPr>
        <w:t>三、政府采购支出情况</w:t>
      </w:r>
    </w:p>
    <w:p w14:paraId="00F5CB46">
      <w:pPr>
        <w:ind w:firstLine="560" w:firstLineChars="200"/>
        <w:jc w:val="both"/>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4161.04</w:t>
      </w:r>
      <w:r>
        <w:rPr>
          <w:rFonts w:hint="eastAsia" w:ascii="仿宋_GB2312" w:eastAsia="仿宋_GB2312"/>
          <w:sz w:val="28"/>
          <w:szCs w:val="28"/>
        </w:rPr>
        <w:t>万元，其中：政府采购货物支出</w:t>
      </w:r>
      <w:r>
        <w:rPr>
          <w:rFonts w:ascii="仿宋_GB2312" w:eastAsia="仿宋_GB2312"/>
          <w:sz w:val="28"/>
          <w:szCs w:val="28"/>
        </w:rPr>
        <w:t>91.07</w:t>
      </w:r>
      <w:r>
        <w:rPr>
          <w:rFonts w:hint="eastAsia" w:ascii="仿宋_GB2312" w:eastAsia="仿宋_GB2312"/>
          <w:sz w:val="28"/>
          <w:szCs w:val="28"/>
        </w:rPr>
        <w:t>万元，政府采购工程支出</w:t>
      </w:r>
      <w:r>
        <w:rPr>
          <w:rFonts w:ascii="仿宋_GB2312" w:eastAsia="仿宋_GB2312"/>
          <w:sz w:val="28"/>
          <w:szCs w:val="28"/>
        </w:rPr>
        <w:t>1034.35</w:t>
      </w:r>
      <w:r>
        <w:rPr>
          <w:rFonts w:hint="eastAsia" w:ascii="仿宋_GB2312" w:eastAsia="仿宋_GB2312"/>
          <w:sz w:val="28"/>
          <w:szCs w:val="28"/>
        </w:rPr>
        <w:t>万元，政府采购服务支出</w:t>
      </w:r>
      <w:r>
        <w:rPr>
          <w:rFonts w:ascii="仿宋_GB2312" w:eastAsia="仿宋_GB2312"/>
          <w:sz w:val="28"/>
          <w:szCs w:val="28"/>
        </w:rPr>
        <w:t>3035.62</w:t>
      </w:r>
      <w:r>
        <w:rPr>
          <w:rFonts w:hint="eastAsia" w:ascii="仿宋_GB2312" w:eastAsia="仿宋_GB2312"/>
          <w:sz w:val="28"/>
          <w:szCs w:val="28"/>
        </w:rPr>
        <w:t>万元。授予中小企业合同金额</w:t>
      </w:r>
      <w:r>
        <w:rPr>
          <w:rFonts w:ascii="仿宋_GB2312" w:eastAsia="仿宋_GB2312"/>
          <w:sz w:val="28"/>
          <w:szCs w:val="28"/>
        </w:rPr>
        <w:t>3667.42</w:t>
      </w:r>
      <w:r>
        <w:rPr>
          <w:rFonts w:hint="eastAsia" w:ascii="仿宋_GB2312" w:eastAsia="仿宋_GB2312"/>
          <w:sz w:val="28"/>
          <w:szCs w:val="28"/>
        </w:rPr>
        <w:t>万元，占政府采购支出总额的</w:t>
      </w:r>
      <w:r>
        <w:rPr>
          <w:rFonts w:hint="eastAsia" w:ascii="仿宋_GB2312" w:eastAsia="仿宋_GB2312"/>
          <w:sz w:val="28"/>
          <w:szCs w:val="28"/>
          <w:lang w:eastAsia="zh-CN"/>
        </w:rPr>
        <w:t>88.14</w:t>
      </w:r>
      <w:r>
        <w:rPr>
          <w:rFonts w:hint="eastAsia" w:ascii="仿宋_GB2312" w:eastAsia="仿宋_GB2312"/>
          <w:sz w:val="28"/>
          <w:szCs w:val="28"/>
        </w:rPr>
        <w:t>%，</w:t>
      </w:r>
      <w:r>
        <w:rPr>
          <w:rFonts w:hint="eastAsia" w:ascii="仿宋_GB2312" w:eastAsia="仿宋_GB2312"/>
          <w:sz w:val="28"/>
          <w:szCs w:val="28"/>
          <w:lang w:eastAsia="zh-CN"/>
        </w:rPr>
        <w:t>其中：授予小微企业合同金额</w:t>
      </w:r>
      <w:r>
        <w:rPr>
          <w:rFonts w:hint="eastAsia" w:ascii="仿宋_GB2312" w:eastAsia="仿宋_GB2312"/>
          <w:sz w:val="28"/>
          <w:szCs w:val="28"/>
        </w:rPr>
        <w:t>2611.47万元，占政府采购支出总额的</w:t>
      </w:r>
      <w:r>
        <w:rPr>
          <w:rFonts w:ascii="仿宋_GB2312" w:eastAsia="仿宋_GB2312"/>
          <w:sz w:val="28"/>
          <w:szCs w:val="28"/>
        </w:rPr>
        <w:t>62.76</w:t>
      </w:r>
      <w:r>
        <w:rPr>
          <w:rFonts w:hint="eastAsia" w:ascii="仿宋_GB2312" w:eastAsia="仿宋_GB2312"/>
          <w:sz w:val="28"/>
          <w:szCs w:val="28"/>
        </w:rPr>
        <w:t>%。</w:t>
      </w:r>
    </w:p>
    <w:p w14:paraId="40F61EE6">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0682977">
      <w:pPr>
        <w:ind w:firstLine="560" w:firstLineChars="200"/>
        <w:rPr>
          <w:rFonts w:ascii="仿宋_GB2312" w:eastAsia="仿宋_GB2312"/>
          <w:sz w:val="32"/>
          <w:szCs w:val="32"/>
          <w:highlight w:val="none"/>
        </w:rPr>
      </w:pPr>
      <w:r>
        <w:rPr>
          <w:rFonts w:hint="eastAsia" w:ascii="仿宋_GB2312" w:eastAsia="仿宋_GB2312"/>
          <w:sz w:val="28"/>
          <w:szCs w:val="28"/>
          <w:highlight w:val="none"/>
        </w:rPr>
        <w:t>截至12月31日，</w:t>
      </w:r>
      <w:r>
        <w:rPr>
          <w:rFonts w:hint="eastAsia" w:ascii="仿宋_GB2312" w:eastAsia="仿宋_GB2312"/>
          <w:sz w:val="28"/>
          <w:szCs w:val="28"/>
          <w:highlight w:val="none"/>
          <w:lang w:val="en-US" w:eastAsia="zh-CN"/>
        </w:rPr>
        <w:t>中国戏曲学院</w:t>
      </w:r>
      <w:r>
        <w:rPr>
          <w:rFonts w:hint="eastAsia" w:ascii="仿宋_GB2312" w:eastAsia="仿宋_GB2312"/>
          <w:sz w:val="28"/>
          <w:szCs w:val="28"/>
          <w:highlight w:val="none"/>
        </w:rPr>
        <w:t>共有车辆</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台；单位价值100万元（含）以上的设备</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台（套）。</w:t>
      </w:r>
    </w:p>
    <w:p w14:paraId="7D952470">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DFE61A2">
      <w:pPr>
        <w:ind w:firstLine="560" w:firstLineChars="200"/>
        <w:jc w:val="left"/>
        <w:rPr>
          <w:rFonts w:hint="eastAsia" w:ascii="仿宋_GB2312" w:eastAsia="仿宋_GB2312"/>
          <w:sz w:val="28"/>
          <w:szCs w:val="28"/>
        </w:rPr>
      </w:pPr>
      <w:r>
        <w:rPr>
          <w:rFonts w:hint="eastAsia" w:ascii="仿宋_GB2312" w:eastAsia="仿宋_GB2312"/>
          <w:sz w:val="28"/>
          <w:szCs w:val="28"/>
        </w:rPr>
        <w:t>不属于政府购买服务购买主体。</w:t>
      </w:r>
    </w:p>
    <w:p w14:paraId="137DEDE3">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D3AC959">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E022348">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B9F4436">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35BF009">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8C13A81">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FEE68AC">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013812D">
      <w:pPr>
        <w:ind w:firstLine="420" w:firstLineChars="150"/>
        <w:rPr>
          <w:rFonts w:hint="eastAsia" w:ascii="仿宋_GB2312" w:eastAsia="仿宋_GB2312"/>
          <w:sz w:val="28"/>
          <w:szCs w:val="28"/>
        </w:rPr>
      </w:pPr>
      <w:r>
        <w:rPr>
          <w:rFonts w:hint="eastAsia" w:ascii="仿宋_GB2312" w:eastAsia="仿宋_GB2312"/>
          <w:sz w:val="28"/>
          <w:szCs w:val="28"/>
        </w:rPr>
        <w:t>7.教育支出（类）普通教育（款）高等教育（项）：反映各部门举办的普通本科(包括研究生)教育支出。政府各部门对社会组织等举办的普通本科高等院校 (包括研究生)的资助，如捐赠、补贴等，也在本科目中反映。</w:t>
      </w:r>
    </w:p>
    <w:p w14:paraId="78FFE827">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教育支出（类）职业教育（款）中等职业教育（项）：反映各部门(不含人力资源社会保障部门) 举办的中等职业教育支出。政府各部门对社会组织等举办的中等职业学校的资助，如捐赠、补贴等，也在本科目中反映。</w:t>
      </w:r>
    </w:p>
    <w:p w14:paraId="3FD62E44">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9.教育支出（类）普通教育（款）其他普通教育支出（项）：反映除学前教育、小学教育、初中教育、高中教育、高等教育项目以外其他用于普通教育方面的支出。</w:t>
      </w:r>
    </w:p>
    <w:p w14:paraId="6C204EA3">
      <w:pPr>
        <w:rPr>
          <w:rFonts w:ascii="仿宋_GB2312" w:eastAsia="仿宋_GB2312"/>
          <w:sz w:val="28"/>
          <w:szCs w:val="28"/>
        </w:rPr>
      </w:pPr>
    </w:p>
    <w:p w14:paraId="4FF72D13">
      <w:pPr>
        <w:rPr>
          <w:rFonts w:ascii="仿宋_GB2312" w:eastAsia="仿宋_GB2312"/>
          <w:b/>
          <w:color w:val="000000"/>
          <w:spacing w:val="-2"/>
          <w:sz w:val="32"/>
          <w:szCs w:val="32"/>
        </w:rPr>
      </w:pPr>
    </w:p>
    <w:p w14:paraId="4A695EA4">
      <w:pPr>
        <w:rPr>
          <w:rFonts w:ascii="仿宋_GB2312" w:eastAsia="仿宋_GB2312"/>
          <w:b/>
          <w:color w:val="000000"/>
          <w:spacing w:val="-2"/>
          <w:sz w:val="32"/>
          <w:szCs w:val="32"/>
        </w:rPr>
      </w:pPr>
    </w:p>
    <w:p w14:paraId="7EB63803">
      <w:pPr>
        <w:rPr>
          <w:rFonts w:ascii="仿宋_GB2312" w:eastAsia="仿宋_GB2312"/>
          <w:b/>
          <w:color w:val="000000"/>
          <w:spacing w:val="-2"/>
          <w:sz w:val="32"/>
          <w:szCs w:val="32"/>
        </w:rPr>
      </w:pPr>
    </w:p>
    <w:p w14:paraId="01E91286">
      <w:pPr>
        <w:ind w:firstLine="640" w:firstLineChars="200"/>
        <w:jc w:val="center"/>
        <w:rPr>
          <w:rFonts w:ascii="黑体" w:eastAsia="黑体"/>
          <w:sz w:val="32"/>
          <w:szCs w:val="32"/>
        </w:rPr>
      </w:pPr>
    </w:p>
    <w:p w14:paraId="102DADB4">
      <w:pPr>
        <w:ind w:firstLine="640" w:firstLineChars="200"/>
        <w:jc w:val="center"/>
        <w:rPr>
          <w:rFonts w:ascii="黑体" w:eastAsia="黑体"/>
          <w:sz w:val="32"/>
          <w:szCs w:val="32"/>
        </w:rPr>
      </w:pPr>
    </w:p>
    <w:p w14:paraId="7E080669">
      <w:pPr>
        <w:ind w:firstLine="640" w:firstLineChars="200"/>
        <w:jc w:val="center"/>
        <w:rPr>
          <w:rFonts w:ascii="黑体" w:eastAsia="黑体"/>
          <w:sz w:val="28"/>
          <w:szCs w:val="28"/>
          <w:highlight w:val="yellow"/>
        </w:rPr>
      </w:pPr>
      <w:r>
        <w:rPr>
          <w:rFonts w:hint="eastAsia" w:ascii="黑体" w:eastAsia="黑体"/>
          <w:sz w:val="32"/>
          <w:szCs w:val="32"/>
        </w:rPr>
        <w:t xml:space="preserve">第四部分  </w:t>
      </w:r>
      <w:r>
        <w:rPr>
          <w:rFonts w:hint="eastAsia" w:ascii="黑体" w:eastAsia="黑体"/>
          <w:sz w:val="32"/>
          <w:szCs w:val="32"/>
          <w:lang w:eastAsia="zh-CN"/>
        </w:rPr>
        <w:t>2024</w:t>
      </w:r>
      <w:r>
        <w:rPr>
          <w:rFonts w:hint="eastAsia" w:ascii="黑体" w:eastAsia="黑体"/>
          <w:sz w:val="32"/>
          <w:szCs w:val="32"/>
        </w:rPr>
        <w:t>年度部门绩效评价情况</w:t>
      </w:r>
    </w:p>
    <w:p w14:paraId="72D1509B">
      <w:pPr>
        <w:ind w:firstLine="280" w:firstLineChars="100"/>
        <w:rPr>
          <w:rFonts w:hint="eastAsia" w:ascii="黑体" w:eastAsia="黑体"/>
          <w:sz w:val="32"/>
          <w:szCs w:val="32"/>
        </w:rPr>
      </w:pPr>
      <w:bookmarkStart w:id="0" w:name="_Hlk136881501"/>
      <w:r>
        <w:rPr>
          <w:rFonts w:hint="eastAsia" w:ascii="仿宋_GB2312" w:eastAsia="仿宋_GB2312"/>
          <w:sz w:val="28"/>
          <w:szCs w:val="28"/>
        </w:rPr>
        <w:t>项目支出绩效自评表</w:t>
      </w:r>
      <w:bookmarkEnd w:id="0"/>
      <w:r>
        <w:rPr>
          <w:rFonts w:hint="eastAsia" w:ascii="仿宋_GB2312" w:eastAsia="仿宋_GB2312"/>
          <w:sz w:val="28"/>
          <w:szCs w:val="28"/>
        </w:rPr>
        <w:t>详见附件。</w:t>
      </w:r>
    </w:p>
    <w:p w14:paraId="627B26E5">
      <w:pPr>
        <w:pStyle w:val="2"/>
        <w:ind w:firstLine="560"/>
      </w:pPr>
    </w:p>
    <w:p w14:paraId="76D6C059"/>
    <w:p w14:paraId="492DA5F7">
      <w:pPr>
        <w:pStyle w:val="2"/>
      </w:pPr>
    </w:p>
    <w:p w14:paraId="3FBBD82E"/>
    <w:p w14:paraId="25822F30"/>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BACE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ED9501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3020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92F1BD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FE56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289009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N2IzZTNmOTZmNjNlOGE2ZmEzOWM1YmIwMTU2OG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61402"/>
    <w:rsid w:val="02F120AB"/>
    <w:rsid w:val="033E4BBF"/>
    <w:rsid w:val="036D2DAF"/>
    <w:rsid w:val="04C3537C"/>
    <w:rsid w:val="06D25D4A"/>
    <w:rsid w:val="079004AC"/>
    <w:rsid w:val="0A96708F"/>
    <w:rsid w:val="0BA148CA"/>
    <w:rsid w:val="0C1165C4"/>
    <w:rsid w:val="0DD136FE"/>
    <w:rsid w:val="0DF522C3"/>
    <w:rsid w:val="0F8E2C57"/>
    <w:rsid w:val="1059665E"/>
    <w:rsid w:val="10AC13BA"/>
    <w:rsid w:val="139E0D62"/>
    <w:rsid w:val="13A51B78"/>
    <w:rsid w:val="140137CB"/>
    <w:rsid w:val="145A6C1B"/>
    <w:rsid w:val="150B316D"/>
    <w:rsid w:val="15D14BBA"/>
    <w:rsid w:val="16405024"/>
    <w:rsid w:val="167A2FF9"/>
    <w:rsid w:val="18DE057F"/>
    <w:rsid w:val="1AEC0734"/>
    <w:rsid w:val="1DEF20B0"/>
    <w:rsid w:val="1EB12291"/>
    <w:rsid w:val="20CD03A5"/>
    <w:rsid w:val="20E31D1B"/>
    <w:rsid w:val="214243FA"/>
    <w:rsid w:val="21AD613C"/>
    <w:rsid w:val="22BF5EB7"/>
    <w:rsid w:val="24A752E9"/>
    <w:rsid w:val="257A14F5"/>
    <w:rsid w:val="27196C26"/>
    <w:rsid w:val="29EF086F"/>
    <w:rsid w:val="2B2D2CA0"/>
    <w:rsid w:val="2EFFE297"/>
    <w:rsid w:val="301437CA"/>
    <w:rsid w:val="3437693D"/>
    <w:rsid w:val="349D1F0A"/>
    <w:rsid w:val="34DD0473"/>
    <w:rsid w:val="34EF0FC6"/>
    <w:rsid w:val="36D35146"/>
    <w:rsid w:val="37B00EE0"/>
    <w:rsid w:val="3C157564"/>
    <w:rsid w:val="3C684897"/>
    <w:rsid w:val="403C5A07"/>
    <w:rsid w:val="417D0085"/>
    <w:rsid w:val="42654E02"/>
    <w:rsid w:val="42E738CB"/>
    <w:rsid w:val="433E495C"/>
    <w:rsid w:val="47387638"/>
    <w:rsid w:val="489F2FD7"/>
    <w:rsid w:val="4A7D0C81"/>
    <w:rsid w:val="4AC27CB3"/>
    <w:rsid w:val="4AE11975"/>
    <w:rsid w:val="4AE83716"/>
    <w:rsid w:val="4B036CE0"/>
    <w:rsid w:val="4B2C0426"/>
    <w:rsid w:val="4BDB2578"/>
    <w:rsid w:val="4BF72BEF"/>
    <w:rsid w:val="4EA330F5"/>
    <w:rsid w:val="4FA90297"/>
    <w:rsid w:val="4FC41A43"/>
    <w:rsid w:val="4FE236DD"/>
    <w:rsid w:val="51DB3C59"/>
    <w:rsid w:val="550C0952"/>
    <w:rsid w:val="55762E42"/>
    <w:rsid w:val="55D836B4"/>
    <w:rsid w:val="57A7B272"/>
    <w:rsid w:val="58470068"/>
    <w:rsid w:val="58747CAC"/>
    <w:rsid w:val="598F602C"/>
    <w:rsid w:val="5A1720F9"/>
    <w:rsid w:val="5B4C2D00"/>
    <w:rsid w:val="5B9C37C2"/>
    <w:rsid w:val="5BA7C654"/>
    <w:rsid w:val="5BCF2B06"/>
    <w:rsid w:val="5CBD5382"/>
    <w:rsid w:val="60A54109"/>
    <w:rsid w:val="60DC6ADC"/>
    <w:rsid w:val="614F5344"/>
    <w:rsid w:val="61991DAA"/>
    <w:rsid w:val="61D01CDF"/>
    <w:rsid w:val="62AA45FB"/>
    <w:rsid w:val="62AF4C67"/>
    <w:rsid w:val="64C0607C"/>
    <w:rsid w:val="65756C86"/>
    <w:rsid w:val="674D385B"/>
    <w:rsid w:val="676F09E1"/>
    <w:rsid w:val="69F91F75"/>
    <w:rsid w:val="6BA1781A"/>
    <w:rsid w:val="6BAF40B2"/>
    <w:rsid w:val="6DB4457F"/>
    <w:rsid w:val="71D92AF9"/>
    <w:rsid w:val="73781BAB"/>
    <w:rsid w:val="74B84955"/>
    <w:rsid w:val="759E2C0C"/>
    <w:rsid w:val="75B4228D"/>
    <w:rsid w:val="763D3D03"/>
    <w:rsid w:val="76F8372F"/>
    <w:rsid w:val="77A85155"/>
    <w:rsid w:val="798524E4"/>
    <w:rsid w:val="7A7F1C49"/>
    <w:rsid w:val="7B5B7AE6"/>
    <w:rsid w:val="7B7B6628"/>
    <w:rsid w:val="7BA7071E"/>
    <w:rsid w:val="7BDF6DA8"/>
    <w:rsid w:val="7BF00E78"/>
    <w:rsid w:val="7C7432E3"/>
    <w:rsid w:val="7C7EDC1A"/>
    <w:rsid w:val="7CCED98D"/>
    <w:rsid w:val="7D08410F"/>
    <w:rsid w:val="7DB96DED"/>
    <w:rsid w:val="7DD3AD81"/>
    <w:rsid w:val="7E431733"/>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600" b="1" i="0" u="none" strike="noStrike" kern="1200" spc="0" normalizeH="0" baseline="0">
                <a:solidFill>
                  <a:schemeClr val="dk1">
                    <a:lumMod val="50000"/>
                    <a:lumOff val="50000"/>
                  </a:schemeClr>
                </a:solidFill>
                <a:latin typeface="+mj-lt"/>
                <a:ea typeface="+mj-ea"/>
                <a:cs typeface="+mj-cs"/>
              </a:defRPr>
            </a:pPr>
            <a:r>
              <a:t>收入决算</a:t>
            </a:r>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spPr/>
          <c:explosion val="0"/>
          <c:dPt>
            <c:idx val="0"/>
            <c:bubble3D val="0"/>
            <c:spPr>
              <a:gradFill>
                <a:gsLst>
                  <a:gs pos="94000">
                    <a:schemeClr val="accent1">
                      <a:shade val="76667"/>
                      <a:lumMod val="60000"/>
                      <a:lumOff val="40000"/>
                    </a:schemeClr>
                  </a:gs>
                  <a:gs pos="0">
                    <a:schemeClr val="accent1">
                      <a:shade val="76667"/>
                    </a:schemeClr>
                  </a:gs>
                </a:gsLst>
                <a:lin ang="5400000" scaled="0"/>
              </a:gradFill>
              <a:ln w="19050">
                <a:solidFill>
                  <a:schemeClr val="lt1"/>
                </a:solidFill>
              </a:ln>
              <a:effectLst/>
            </c:spPr>
          </c:dPt>
          <c:dPt>
            <c:idx val="1"/>
            <c:bubble3D val="0"/>
            <c:spPr>
              <a:gradFill>
                <a:gsLst>
                  <a:gs pos="100000">
                    <a:schemeClr val="accent2">
                      <a:shade val="76667"/>
                      <a:lumMod val="60000"/>
                      <a:lumOff val="40000"/>
                    </a:schemeClr>
                  </a:gs>
                  <a:gs pos="0">
                    <a:schemeClr val="accent2">
                      <a:shade val="76667"/>
                    </a:schemeClr>
                  </a:gs>
                </a:gsLst>
                <a:lin ang="5400000" scaled="0"/>
              </a:gradFill>
              <a:ln w="19050">
                <a:solidFill>
                  <a:schemeClr val="lt1"/>
                </a:solidFill>
              </a:ln>
              <a:effectLst/>
            </c:spPr>
          </c:dPt>
          <c:dPt>
            <c:idx val="2"/>
            <c:bubble3D val="0"/>
            <c:spPr>
              <a:gradFill>
                <a:gsLst>
                  <a:gs pos="100000">
                    <a:schemeClr val="accent3">
                      <a:shade val="76667"/>
                      <a:lumMod val="60000"/>
                      <a:lumOff val="40000"/>
                    </a:schemeClr>
                  </a:gs>
                  <a:gs pos="0">
                    <a:schemeClr val="accent3">
                      <a:shade val="76667"/>
                    </a:schemeClr>
                  </a:gs>
                </a:gsLst>
                <a:lin ang="5400000" scaled="0"/>
              </a:gradFill>
              <a:ln w="19050">
                <a:solidFill>
                  <a:schemeClr val="lt1"/>
                </a:solidFill>
              </a:ln>
              <a:effectLst/>
            </c:spPr>
          </c:dPt>
          <c:dLbls>
            <c:dLbl>
              <c:idx val="1"/>
              <c:layout>
                <c:manualLayout>
                  <c:x val="-0.0418483257788515"/>
                  <c:y val="0.051111266647085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424165213590595"/>
                  <c:y val="0.01538631416733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43054.13</c:v>
                </c:pt>
                <c:pt idx="1">
                  <c:v>2819.65</c:v>
                </c:pt>
                <c:pt idx="2">
                  <c:v>1772.16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c1b8935e-e94e-443a-a0aa-cb673d4ad423}"/>
      </c:ext>
    </c:extLst>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manualLayout>
          <c:xMode val="edge"/>
          <c:yMode val="edge"/>
          <c:x val="0.411111111111111"/>
          <c:y val="0.0277777777777778"/>
        </c:manualLayout>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35314.48</c:v>
                </c:pt>
                <c:pt idx="1">
                  <c:v>13724.2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e381703-d885-495e-a1de-71ba8bb5a4b4}"/>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3846</Words>
  <Characters>4342</Characters>
  <Lines>44</Lines>
  <Paragraphs>12</Paragraphs>
  <TotalTime>5</TotalTime>
  <ScaleCrop>false</ScaleCrop>
  <LinksUpToDate>false</LinksUpToDate>
  <CharactersWithSpaces>4362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刘悦珺</cp:lastModifiedBy>
  <cp:lastPrinted>2025-06-11T09:12:00Z</cp:lastPrinted>
  <dcterms:modified xsi:type="dcterms:W3CDTF">2025-09-04T07:15:35Z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435078ACFECC4A5A8A519EF4C3681114_13</vt:lpwstr>
  </property>
  <property fmtid="{D5CDD505-2E9C-101B-9397-08002B2CF9AE}" pid="4" name="KSOTemplateDocerSaveRecord">
    <vt:lpwstr>eyJoZGlkIjoiMWNjNmI3MjdlZjRjOTM3NmNhYzk0Mzk3ZWM3ZTU3YWMiLCJ1c2VySWQiOiIxNTU1Mjk1MjA3In0=</vt:lpwstr>
  </property>
</Properties>
</file>